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C9" w:rsidRDefault="007A16C9" w:rsidP="007A16C9">
      <w:pPr>
        <w:pStyle w:val="pji"/>
      </w:pPr>
      <w:r>
        <w:rPr>
          <w:rStyle w:val="s3"/>
        </w:rPr>
        <w:t xml:space="preserve">В приложение 5 внесены изменения в соответствии с </w:t>
      </w:r>
      <w:hyperlink r:id="rId4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по инвестициям и развитию РК от 26.02.18 г. № 135 (</w:t>
      </w:r>
      <w:hyperlink r:id="rId5" w:anchor="sub_id=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7" w:anchor="sub_id=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06.08.21 г. № 423 (</w:t>
      </w:r>
      <w:hyperlink r:id="rId9" w:anchor="sub_id=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anchor="sub_id=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21.10.21 г. № 546 (</w:t>
      </w:r>
      <w:hyperlink r:id="rId11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21.10.21 г. № 546 (</w:t>
      </w:r>
      <w:hyperlink r:id="rId13" w:anchor="sub_id=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03.02.23 г. № 77 (введен в действие с 26 февраля 2023 г.) (</w:t>
      </w:r>
      <w:hyperlink r:id="rId15" w:anchor="sub_id=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A16C9" w:rsidRDefault="007A16C9" w:rsidP="007A16C9">
      <w:pPr>
        <w:pStyle w:val="pr"/>
      </w:pPr>
      <w:r>
        <w:rPr>
          <w:rStyle w:val="s0"/>
        </w:rPr>
        <w:t>Приложение 5</w:t>
      </w:r>
    </w:p>
    <w:p w:rsidR="007A16C9" w:rsidRDefault="007A16C9" w:rsidP="007A16C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комплексной</w:t>
      </w:r>
    </w:p>
    <w:p w:rsidR="007A16C9" w:rsidRDefault="007A16C9" w:rsidP="007A16C9">
      <w:pPr>
        <w:pStyle w:val="pr"/>
      </w:pPr>
      <w:r>
        <w:rPr>
          <w:rStyle w:val="s0"/>
        </w:rPr>
        <w:t>вневедомственной экспертизы технико-</w:t>
      </w:r>
    </w:p>
    <w:p w:rsidR="007A16C9" w:rsidRDefault="007A16C9" w:rsidP="007A16C9">
      <w:pPr>
        <w:pStyle w:val="pr"/>
      </w:pPr>
      <w:r>
        <w:rPr>
          <w:rStyle w:val="s0"/>
        </w:rPr>
        <w:t>экономических обоснований и проектно-</w:t>
      </w:r>
    </w:p>
    <w:p w:rsidR="007A16C9" w:rsidRDefault="007A16C9" w:rsidP="007A16C9">
      <w:pPr>
        <w:pStyle w:val="pr"/>
      </w:pPr>
      <w:r>
        <w:rPr>
          <w:rStyle w:val="s0"/>
        </w:rPr>
        <w:t>сметной документации, предназначенных для</w:t>
      </w:r>
    </w:p>
    <w:p w:rsidR="007A16C9" w:rsidRDefault="007A16C9" w:rsidP="007A16C9">
      <w:pPr>
        <w:pStyle w:val="pr"/>
      </w:pPr>
      <w:r>
        <w:rPr>
          <w:rStyle w:val="s0"/>
        </w:rPr>
        <w:t>строительства новых, а также изменения</w:t>
      </w:r>
    </w:p>
    <w:p w:rsidR="007A16C9" w:rsidRDefault="007A16C9" w:rsidP="007A16C9">
      <w:pPr>
        <w:pStyle w:val="pr"/>
      </w:pPr>
      <w:r>
        <w:rPr>
          <w:rStyle w:val="s0"/>
        </w:rPr>
        <w:t>(реконструкции, расширения, технического</w:t>
      </w:r>
    </w:p>
    <w:p w:rsidR="007A16C9" w:rsidRDefault="007A16C9" w:rsidP="007A16C9">
      <w:pPr>
        <w:pStyle w:val="pr"/>
      </w:pPr>
      <w:r>
        <w:rPr>
          <w:rStyle w:val="s0"/>
        </w:rPr>
        <w:t>перевооружения, модернизации и</w:t>
      </w:r>
    </w:p>
    <w:p w:rsidR="007A16C9" w:rsidRDefault="007A16C9" w:rsidP="007A16C9">
      <w:pPr>
        <w:pStyle w:val="pr"/>
      </w:pPr>
      <w:r>
        <w:rPr>
          <w:rStyle w:val="s0"/>
        </w:rPr>
        <w:t>капитального ремонта) существующих зданий</w:t>
      </w:r>
    </w:p>
    <w:p w:rsidR="007A16C9" w:rsidRDefault="007A16C9" w:rsidP="007A16C9">
      <w:pPr>
        <w:pStyle w:val="pr"/>
      </w:pPr>
      <w:r>
        <w:rPr>
          <w:rStyle w:val="s0"/>
        </w:rPr>
        <w:t>и сооружений, их комплексов, инженерных и</w:t>
      </w:r>
    </w:p>
    <w:p w:rsidR="007A16C9" w:rsidRDefault="007A16C9" w:rsidP="007A16C9">
      <w:pPr>
        <w:pStyle w:val="pr"/>
      </w:pPr>
      <w:r>
        <w:rPr>
          <w:rStyle w:val="s0"/>
        </w:rPr>
        <w:t>транспортных коммуникаций независимо от</w:t>
      </w:r>
    </w:p>
    <w:p w:rsidR="007A16C9" w:rsidRDefault="007A16C9" w:rsidP="007A16C9">
      <w:pPr>
        <w:pStyle w:val="pr"/>
      </w:pPr>
      <w:r>
        <w:rPr>
          <w:rStyle w:val="s0"/>
        </w:rPr>
        <w:t>источников финансирования</w:t>
      </w:r>
    </w:p>
    <w:p w:rsidR="007A16C9" w:rsidRDefault="007A16C9" w:rsidP="007A16C9">
      <w:pPr>
        <w:pStyle w:val="pr"/>
      </w:pPr>
      <w:r>
        <w:rPr>
          <w:rStyle w:val="s0"/>
        </w:rPr>
        <w:t> </w:t>
      </w:r>
    </w:p>
    <w:p w:rsidR="007A16C9" w:rsidRDefault="007A16C9" w:rsidP="007A16C9">
      <w:pPr>
        <w:pStyle w:val="pc"/>
      </w:pPr>
      <w:r>
        <w:t> </w:t>
      </w:r>
    </w:p>
    <w:p w:rsidR="007A16C9" w:rsidRDefault="007A16C9" w:rsidP="007A16C9">
      <w:pPr>
        <w:pStyle w:val="pc"/>
      </w:pPr>
      <w:r>
        <w:rPr>
          <w:rStyle w:val="s1"/>
        </w:rPr>
        <w:t xml:space="preserve">Комплектность исходно-разрешительных документов, </w:t>
      </w:r>
      <w:r>
        <w:rPr>
          <w:rStyle w:val="s1"/>
        </w:rPr>
        <w:br/>
        <w:t xml:space="preserve">представляемых на комплексную вневедомственную экспертизу проектно-сметной документации </w:t>
      </w:r>
      <w:r>
        <w:rPr>
          <w:rStyle w:val="s1"/>
        </w:rPr>
        <w:br/>
        <w:t xml:space="preserve">на строительство отдельных объектов, требующих особого регулирования и (или) градостроительной регламентации </w:t>
      </w:r>
      <w:r>
        <w:rPr>
          <w:rStyle w:val="s1"/>
        </w:rPr>
        <w:br/>
        <w:t>и на экспертизу проектной (проектно-сметной) документации проводимой в режиме экспертного сопровождения</w:t>
      </w:r>
    </w:p>
    <w:p w:rsidR="007A16C9" w:rsidRDefault="007A16C9" w:rsidP="007A16C9">
      <w:pPr>
        <w:pStyle w:val="a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8694"/>
      </w:tblGrid>
      <w:tr w:rsidR="007A16C9" w:rsidRPr="00652E98" w:rsidTr="00101088"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№/п</w:t>
            </w:r>
          </w:p>
        </w:tc>
        <w:tc>
          <w:tcPr>
            <w:tcW w:w="4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Наименование документа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1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 xml:space="preserve">Письмо-заявка заказчика с указанием: наименования проекта; </w:t>
            </w:r>
            <w:proofErr w:type="spellStart"/>
            <w:r w:rsidRPr="00652E98">
              <w:rPr>
                <w:rStyle w:val="s0"/>
              </w:rPr>
              <w:t>генпроектировщика</w:t>
            </w:r>
            <w:proofErr w:type="spellEnd"/>
            <w:r w:rsidRPr="00652E98">
              <w:rPr>
                <w:rStyle w:val="s0"/>
              </w:rPr>
              <w:t>; реквизитов заказчика (копии документов заказчика, предусмотренных законодательством о государственной регистрации юридических лиц, налогах и других обязательных платежах; банковские реквизиты); сроков проектирования и строительства; согласования заказчиком принятых проектных решений;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2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Правоустанавливающий документ на земельный участок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3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Архитектурно-планировочное задание местного органа архитектуры и градостроительства, включая оговоренные условия инженерной подготовки территории, благоустройства и озеленения, в котором указываются:</w:t>
            </w:r>
          </w:p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этажность зданий и сооружений; необходимость согласования проектной документации (эскизного проекта, генплана);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4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Отчеты инженерных изысканий площадки строительства (в границах земельного участка и трасс прокладки коммуникаций), включая материалы топографической съемки и данные геологических и гидрогеологических изысканий с приложением: лицензии на изыскательскую деятельность.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5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Технические условия (со схемами трасс) (обязательно, по функциональному назначению объекта):</w:t>
            </w:r>
          </w:p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 xml:space="preserve">1) на подключение к источникам инженерного и транспортного обеспечения, выдаваемыми эксплуатирующими организациями: теплоснабжение; </w:t>
            </w:r>
            <w:r w:rsidRPr="00652E98">
              <w:rPr>
                <w:rStyle w:val="s0"/>
              </w:rPr>
              <w:lastRenderedPageBreak/>
              <w:t>водоснабжение и канализацию; электроснабжение; телефонизацию; ливневую канализацию; газоснабжение;</w:t>
            </w:r>
          </w:p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2)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трассы, выдаваемыми собственниками.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lastRenderedPageBreak/>
              <w:t>6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Эскизный проект: согласованный с заказчиком и с местным органом архитектуры и градостроительства;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7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Задание на проектирование, утвержденное заказчиком (с указанием даты);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8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Специальные технические условия (особые нормы) (по необходимости, для проектов строительства уникальных объектов)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9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"/>
              <w:spacing w:line="276" w:lineRule="auto"/>
            </w:pPr>
            <w:r w:rsidRPr="00652E98">
              <w:rPr>
                <w:rStyle w:val="s0"/>
              </w:rPr>
              <w:t>Согласования уполномоченных органов (по необходимости и функциональному назначению объекта):</w:t>
            </w:r>
          </w:p>
          <w:p w:rsidR="007A16C9" w:rsidRPr="00652E98" w:rsidRDefault="007A16C9" w:rsidP="00101088">
            <w:pPr>
              <w:pStyle w:val="p"/>
              <w:spacing w:line="276" w:lineRule="auto"/>
            </w:pPr>
            <w:r w:rsidRPr="00652E98">
              <w:rPr>
                <w:rStyle w:val="s0"/>
              </w:rPr>
              <w:t>уполномоченного государственного органа в области ветеринарии;</w:t>
            </w:r>
          </w:p>
          <w:p w:rsidR="007A16C9" w:rsidRPr="00652E98" w:rsidRDefault="007A16C9" w:rsidP="00101088">
            <w:pPr>
              <w:pStyle w:val="p"/>
              <w:spacing w:line="276" w:lineRule="auto"/>
            </w:pPr>
            <w:r w:rsidRPr="00652E98">
              <w:rPr>
                <w:rStyle w:val="s0"/>
              </w:rPr>
              <w:t>уполномоченного органа в сфере гражданской и государственной авиации (по объектам, высота которых 45 метров и более и расположенных в пределах 15 километров от аэродрома);</w:t>
            </w:r>
          </w:p>
          <w:p w:rsidR="007A16C9" w:rsidRPr="00652E98" w:rsidRDefault="007A16C9" w:rsidP="00101088">
            <w:pPr>
              <w:pStyle w:val="p"/>
              <w:spacing w:line="276" w:lineRule="auto"/>
            </w:pPr>
            <w:r w:rsidRPr="00652E98">
              <w:rPr>
                <w:rStyle w:val="s0"/>
              </w:rPr>
              <w:t>иные согласования проекта на строительство, предусмотренные законодательством Республики Казахстан и нормативно-техническими документами в сфере архитектуры, градостроительства и строительства.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10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Утвержденное ТЭО или инвестиционное предложение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11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>Проект организации строительства, разработанный на основе имеющихся данных и прогнозируемых параметров</w:t>
            </w:r>
          </w:p>
        </w:tc>
      </w:tr>
      <w:tr w:rsidR="007A16C9" w:rsidRPr="00652E98" w:rsidTr="00101088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pc"/>
            </w:pPr>
            <w:r w:rsidRPr="00652E98">
              <w:rPr>
                <w:rStyle w:val="s0"/>
              </w:rPr>
              <w:t>12</w:t>
            </w:r>
          </w:p>
        </w:tc>
        <w:tc>
          <w:tcPr>
            <w:tcW w:w="4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C9" w:rsidRPr="00652E98" w:rsidRDefault="007A16C9" w:rsidP="00101088">
            <w:pPr>
              <w:pStyle w:val="a3"/>
            </w:pPr>
            <w:r w:rsidRPr="00652E98">
              <w:rPr>
                <w:rStyle w:val="s0"/>
              </w:rPr>
              <w:t xml:space="preserve">Специальные исходные документы для проведения в составе комплексной вневедомственной экспертизы, согласно </w:t>
            </w:r>
            <w:proofErr w:type="gramStart"/>
            <w:r w:rsidRPr="00652E98">
              <w:rPr>
                <w:rStyle w:val="s0"/>
              </w:rPr>
              <w:t>перечню</w:t>
            </w:r>
            <w:proofErr w:type="gramEnd"/>
            <w:r w:rsidRPr="00652E98">
              <w:rPr>
                <w:rStyle w:val="s0"/>
              </w:rPr>
              <w:t xml:space="preserve"> приведенного в </w:t>
            </w:r>
            <w:hyperlink w:anchor="sub2" w:history="1">
              <w:r w:rsidRPr="00652E98">
                <w:rPr>
                  <w:rStyle w:val="a4"/>
                </w:rPr>
                <w:t>пунктах 1, 2 и 3</w:t>
              </w:r>
            </w:hyperlink>
            <w:r w:rsidRPr="00652E98">
              <w:rPr>
                <w:rStyle w:val="s0"/>
              </w:rPr>
              <w:t xml:space="preserve"> приложения 2 к настоящим Правилам</w:t>
            </w:r>
          </w:p>
        </w:tc>
      </w:tr>
    </w:tbl>
    <w:p w:rsidR="007A16C9" w:rsidRDefault="007A16C9" w:rsidP="007A16C9">
      <w:pPr>
        <w:pStyle w:val="pr"/>
      </w:pPr>
      <w:r>
        <w:rPr>
          <w:rStyle w:val="s0"/>
        </w:rPr>
        <w:t> </w:t>
      </w:r>
    </w:p>
    <w:p w:rsidR="000F6470" w:rsidRDefault="000F6470">
      <w:bookmarkStart w:id="0" w:name="_GoBack"/>
      <w:bookmarkEnd w:id="0"/>
    </w:p>
    <w:sectPr w:rsidR="000F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C9"/>
    <w:rsid w:val="000F6470"/>
    <w:rsid w:val="007A16C9"/>
    <w:rsid w:val="00C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D3D51-1AB9-46F3-A618-65925C2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6C9"/>
    <w:rPr>
      <w:color w:val="000000"/>
    </w:rPr>
  </w:style>
  <w:style w:type="paragraph" w:customStyle="1" w:styleId="pc">
    <w:name w:val="pc"/>
    <w:basedOn w:val="a"/>
    <w:rsid w:val="007A16C9"/>
    <w:pPr>
      <w:jc w:val="center"/>
    </w:pPr>
    <w:rPr>
      <w:color w:val="000000"/>
    </w:rPr>
  </w:style>
  <w:style w:type="paragraph" w:customStyle="1" w:styleId="pr">
    <w:name w:val="pr"/>
    <w:basedOn w:val="a"/>
    <w:rsid w:val="007A16C9"/>
    <w:pPr>
      <w:jc w:val="right"/>
    </w:pPr>
    <w:rPr>
      <w:color w:val="000000"/>
    </w:rPr>
  </w:style>
  <w:style w:type="paragraph" w:customStyle="1" w:styleId="pji">
    <w:name w:val="pji"/>
    <w:basedOn w:val="a"/>
    <w:rsid w:val="007A16C9"/>
    <w:pPr>
      <w:jc w:val="both"/>
    </w:pPr>
    <w:rPr>
      <w:color w:val="000000"/>
    </w:rPr>
  </w:style>
  <w:style w:type="character" w:customStyle="1" w:styleId="s0">
    <w:name w:val="s0"/>
    <w:rsid w:val="007A16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7A16C9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7A16C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uiPriority w:val="99"/>
    <w:semiHidden/>
    <w:unhideWhenUsed/>
    <w:rsid w:val="007A16C9"/>
    <w:rPr>
      <w:color w:val="0000FF"/>
      <w:u w:val="single"/>
    </w:rPr>
  </w:style>
  <w:style w:type="paragraph" w:customStyle="1" w:styleId="p">
    <w:name w:val="p"/>
    <w:basedOn w:val="a"/>
    <w:rsid w:val="007A16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302606" TargetMode="External"/><Relationship Id="rId13" Type="http://schemas.openxmlformats.org/officeDocument/2006/relationships/hyperlink" Target="http://online.zakon.kz/Document/?doc_id=32083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7066128" TargetMode="External"/><Relationship Id="rId12" Type="http://schemas.openxmlformats.org/officeDocument/2006/relationships/hyperlink" Target="http://online.zakon.kz/Document/?doc_id=392946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6037155" TargetMode="External"/><Relationship Id="rId11" Type="http://schemas.openxmlformats.org/officeDocument/2006/relationships/hyperlink" Target="http://online.zakon.kz/Document/?doc_id=32083338" TargetMode="External"/><Relationship Id="rId5" Type="http://schemas.openxmlformats.org/officeDocument/2006/relationships/hyperlink" Target="http://online.zakon.kz/Document/?doc_id=35826711" TargetMode="External"/><Relationship Id="rId15" Type="http://schemas.openxmlformats.org/officeDocument/2006/relationships/hyperlink" Target="http://online.zakon.kz/Document/?doc_id=39128419" TargetMode="External"/><Relationship Id="rId10" Type="http://schemas.openxmlformats.org/officeDocument/2006/relationships/hyperlink" Target="http://online.zakon.kz/Document/?doc_id=39294678" TargetMode="External"/><Relationship Id="rId4" Type="http://schemas.openxmlformats.org/officeDocument/2006/relationships/hyperlink" Target="http://online.zakon.kz/Document/?doc_id=32802165" TargetMode="External"/><Relationship Id="rId9" Type="http://schemas.openxmlformats.org/officeDocument/2006/relationships/hyperlink" Target="http://online.zakon.kz/Document/?doc_id=36495331" TargetMode="External"/><Relationship Id="rId14" Type="http://schemas.openxmlformats.org/officeDocument/2006/relationships/hyperlink" Target="http://online.zakon.kz/Document/?doc_id=39328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Балтекеева Айнур Каирбековна</dc:creator>
  <cp:keywords/>
  <dc:description/>
  <cp:lastModifiedBy>Балтекеева Айнур Каирбековна</cp:lastModifiedBy>
  <cp:revision>1</cp:revision>
  <dcterms:created xsi:type="dcterms:W3CDTF">2023-02-27T09:12:00Z</dcterms:created>
  <dcterms:modified xsi:type="dcterms:W3CDTF">2023-02-27T09:13:00Z</dcterms:modified>
</cp:coreProperties>
</file>